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4AA" w:rsidRPr="005F783F" w:rsidRDefault="000B597E" w:rsidP="000B597E">
      <w:pPr>
        <w:jc w:val="center"/>
        <w:rPr>
          <w:rFonts w:ascii="Times New Roman" w:hAnsi="Times New Roman" w:cs="Times New Roman"/>
          <w:b/>
          <w:sz w:val="24"/>
          <w:szCs w:val="24"/>
        </w:rPr>
      </w:pPr>
      <w:r w:rsidRPr="005F783F">
        <w:rPr>
          <w:rFonts w:ascii="Times New Roman" w:hAnsi="Times New Roman" w:cs="Times New Roman"/>
          <w:b/>
          <w:sz w:val="24"/>
          <w:szCs w:val="24"/>
        </w:rPr>
        <w:t>CONVICTED OF POSSESSION OR SALE OF DRUGS</w:t>
      </w:r>
    </w:p>
    <w:p w:rsidR="000B597E" w:rsidRDefault="000B597E" w:rsidP="000B597E">
      <w:pPr>
        <w:jc w:val="center"/>
        <w:rPr>
          <w:rFonts w:ascii="Times New Roman" w:hAnsi="Times New Roman" w:cs="Times New Roman"/>
          <w:sz w:val="24"/>
          <w:szCs w:val="24"/>
        </w:rPr>
      </w:pPr>
    </w:p>
    <w:p w:rsidR="000B597E" w:rsidRDefault="000B597E" w:rsidP="000B597E">
      <w:pPr>
        <w:pStyle w:val="NoSpacing"/>
        <w:rPr>
          <w:rFonts w:ascii="Times New Roman" w:hAnsi="Times New Roman" w:cs="Times New Roman"/>
          <w:sz w:val="24"/>
          <w:szCs w:val="24"/>
        </w:rPr>
      </w:pPr>
      <w:r>
        <w:rPr>
          <w:rFonts w:ascii="Times New Roman" w:hAnsi="Times New Roman" w:cs="Times New Roman"/>
          <w:sz w:val="24"/>
          <w:szCs w:val="24"/>
        </w:rPr>
        <w:t>A federal or state drug conviction (but not a local or municipal conviction) can disqualify a student for FSA funds.  Convictions only count against a student for aid eligibility purposes if they were for an offense that occurred during a period of enrollment for which the student was receiving federal student aid – they do not count if the offense was not during such a period, unless the student was denied federal benefits for drug trafficking by a federal or state judge.  Also a conviction that was reversed, set aside, or removed from the student’s record does not count, nor does one received when a juvenile, unless tried as an adult.</w:t>
      </w:r>
    </w:p>
    <w:p w:rsidR="000B597E" w:rsidRDefault="000B597E" w:rsidP="000B597E">
      <w:pPr>
        <w:pStyle w:val="NoSpacing"/>
        <w:rPr>
          <w:rFonts w:ascii="Times New Roman" w:hAnsi="Times New Roman" w:cs="Times New Roman"/>
          <w:sz w:val="24"/>
          <w:szCs w:val="24"/>
        </w:rPr>
      </w:pPr>
    </w:p>
    <w:p w:rsidR="000B597E" w:rsidRDefault="000B597E" w:rsidP="000B597E">
      <w:pPr>
        <w:pStyle w:val="NoSpacing"/>
        <w:rPr>
          <w:rFonts w:ascii="Times New Roman" w:hAnsi="Times New Roman" w:cs="Times New Roman"/>
          <w:sz w:val="24"/>
          <w:szCs w:val="24"/>
        </w:rPr>
      </w:pPr>
      <w:r>
        <w:rPr>
          <w:rFonts w:ascii="Times New Roman" w:hAnsi="Times New Roman" w:cs="Times New Roman"/>
          <w:sz w:val="24"/>
          <w:szCs w:val="24"/>
        </w:rPr>
        <w:t>The chart below illustrates the period of ineligibility for FSA funds, depending on whether the conviction was for sale or possession and whether the student had previous offenses. (A conviction for sale of drugs includes convictions for conspiring to sell drugs.)</w:t>
      </w:r>
    </w:p>
    <w:p w:rsidR="000B597E" w:rsidRDefault="000B597E" w:rsidP="000B597E">
      <w:pPr>
        <w:pStyle w:val="NoSpacing"/>
        <w:rPr>
          <w:rFonts w:ascii="Times New Roman" w:hAnsi="Times New Roman" w:cs="Times New Roman"/>
          <w:sz w:val="24"/>
          <w:szCs w:val="24"/>
        </w:rPr>
      </w:pPr>
    </w:p>
    <w:p w:rsidR="000B597E" w:rsidRPr="000B597E" w:rsidRDefault="000B597E" w:rsidP="000B597E">
      <w:pPr>
        <w:kinsoku w:val="0"/>
        <w:overflowPunct w:val="0"/>
        <w:autoSpaceDE w:val="0"/>
        <w:autoSpaceDN w:val="0"/>
        <w:adjustRightInd w:val="0"/>
        <w:spacing w:before="6" w:after="0"/>
        <w:rPr>
          <w:rFonts w:ascii="Times New Roman" w:hAnsi="Times New Roman" w:cs="Times New Roman"/>
          <w:sz w:val="2"/>
          <w:szCs w:val="2"/>
        </w:rPr>
      </w:pPr>
    </w:p>
    <w:tbl>
      <w:tblPr>
        <w:tblW w:w="0" w:type="auto"/>
        <w:tblInd w:w="728" w:type="dxa"/>
        <w:tblLayout w:type="fixed"/>
        <w:tblCellMar>
          <w:left w:w="0" w:type="dxa"/>
          <w:right w:w="0" w:type="dxa"/>
        </w:tblCellMar>
        <w:tblLook w:val="0000" w:firstRow="0" w:lastRow="0" w:firstColumn="0" w:lastColumn="0" w:noHBand="0" w:noVBand="0"/>
      </w:tblPr>
      <w:tblGrid>
        <w:gridCol w:w="1271"/>
        <w:gridCol w:w="2497"/>
        <w:gridCol w:w="3972"/>
      </w:tblGrid>
      <w:tr w:rsidR="000B597E" w:rsidRPr="000B597E" w:rsidTr="000B597E">
        <w:tblPrEx>
          <w:tblCellMar>
            <w:top w:w="0" w:type="dxa"/>
            <w:left w:w="0" w:type="dxa"/>
            <w:bottom w:w="0" w:type="dxa"/>
            <w:right w:w="0" w:type="dxa"/>
          </w:tblCellMar>
        </w:tblPrEx>
        <w:trPr>
          <w:trHeight w:hRule="exact" w:val="630"/>
        </w:trPr>
        <w:tc>
          <w:tcPr>
            <w:tcW w:w="1271" w:type="dxa"/>
            <w:tcBorders>
              <w:top w:val="single" w:sz="8" w:space="0" w:color="231F20"/>
              <w:left w:val="single" w:sz="6" w:space="0" w:color="231F20"/>
              <w:bottom w:val="single" w:sz="8" w:space="0" w:color="231F20"/>
              <w:right w:val="nil"/>
            </w:tcBorders>
            <w:shd w:val="clear" w:color="auto" w:fill="BCBEC0"/>
          </w:tcPr>
          <w:p w:rsidR="000B597E" w:rsidRPr="000B597E" w:rsidRDefault="000B597E" w:rsidP="000B597E">
            <w:pPr>
              <w:autoSpaceDE w:val="0"/>
              <w:autoSpaceDN w:val="0"/>
              <w:adjustRightInd w:val="0"/>
              <w:spacing w:after="0"/>
              <w:rPr>
                <w:rFonts w:ascii="Times New Roman" w:hAnsi="Times New Roman" w:cs="Times New Roman"/>
                <w:sz w:val="24"/>
                <w:szCs w:val="24"/>
              </w:rPr>
            </w:pPr>
          </w:p>
        </w:tc>
        <w:tc>
          <w:tcPr>
            <w:tcW w:w="2497" w:type="dxa"/>
            <w:tcBorders>
              <w:top w:val="single" w:sz="8" w:space="0" w:color="231F20"/>
              <w:left w:val="nil"/>
              <w:bottom w:val="single" w:sz="8" w:space="0" w:color="231F20"/>
              <w:right w:val="single" w:sz="2" w:space="0" w:color="BCBEC0"/>
            </w:tcBorders>
            <w:shd w:val="clear" w:color="auto" w:fill="BCBEC0"/>
          </w:tcPr>
          <w:p w:rsidR="000B597E" w:rsidRPr="000B597E" w:rsidRDefault="000B597E" w:rsidP="000B597E">
            <w:pPr>
              <w:kinsoku w:val="0"/>
              <w:overflowPunct w:val="0"/>
              <w:autoSpaceDE w:val="0"/>
              <w:autoSpaceDN w:val="0"/>
              <w:adjustRightInd w:val="0"/>
              <w:spacing w:before="77" w:after="0" w:line="182" w:lineRule="auto"/>
              <w:ind w:left="383" w:right="492"/>
              <w:rPr>
                <w:rFonts w:ascii="Times New Roman" w:hAnsi="Times New Roman" w:cs="Times New Roman"/>
                <w:sz w:val="24"/>
                <w:szCs w:val="24"/>
              </w:rPr>
            </w:pPr>
            <w:r w:rsidRPr="000B597E">
              <w:rPr>
                <w:rFonts w:ascii="Calibri" w:hAnsi="Calibri" w:cs="Calibri"/>
                <w:b/>
                <w:bCs/>
                <w:color w:val="231F20"/>
                <w:spacing w:val="-6"/>
                <w:w w:val="110"/>
                <w:sz w:val="28"/>
                <w:szCs w:val="28"/>
              </w:rPr>
              <w:t>Possession</w:t>
            </w:r>
            <w:r w:rsidRPr="000B597E">
              <w:rPr>
                <w:rFonts w:ascii="Calibri" w:hAnsi="Calibri" w:cs="Calibri"/>
                <w:b/>
                <w:bCs/>
                <w:color w:val="231F20"/>
                <w:spacing w:val="-38"/>
                <w:w w:val="110"/>
                <w:sz w:val="28"/>
                <w:szCs w:val="28"/>
              </w:rPr>
              <w:t xml:space="preserve"> </w:t>
            </w:r>
            <w:r w:rsidRPr="000B597E">
              <w:rPr>
                <w:rFonts w:ascii="Calibri" w:hAnsi="Calibri" w:cs="Calibri"/>
                <w:b/>
                <w:bCs/>
                <w:color w:val="231F20"/>
                <w:spacing w:val="-6"/>
                <w:w w:val="110"/>
                <w:sz w:val="28"/>
                <w:szCs w:val="28"/>
              </w:rPr>
              <w:t>of</w:t>
            </w:r>
            <w:r w:rsidRPr="000B597E">
              <w:rPr>
                <w:rFonts w:ascii="Calibri" w:hAnsi="Calibri" w:cs="Calibri"/>
                <w:b/>
                <w:bCs/>
                <w:color w:val="231F20"/>
                <w:spacing w:val="20"/>
                <w:w w:val="107"/>
                <w:sz w:val="28"/>
                <w:szCs w:val="28"/>
              </w:rPr>
              <w:t xml:space="preserve"> </w:t>
            </w:r>
            <w:r w:rsidRPr="000B597E">
              <w:rPr>
                <w:rFonts w:ascii="Calibri" w:hAnsi="Calibri" w:cs="Calibri"/>
                <w:b/>
                <w:bCs/>
                <w:color w:val="231F20"/>
                <w:spacing w:val="-5"/>
                <w:w w:val="110"/>
                <w:sz w:val="28"/>
                <w:szCs w:val="28"/>
              </w:rPr>
              <w:t>illegal</w:t>
            </w:r>
            <w:r w:rsidRPr="000B597E">
              <w:rPr>
                <w:rFonts w:ascii="Calibri" w:hAnsi="Calibri" w:cs="Calibri"/>
                <w:b/>
                <w:bCs/>
                <w:color w:val="231F20"/>
                <w:spacing w:val="-4"/>
                <w:w w:val="110"/>
                <w:sz w:val="28"/>
                <w:szCs w:val="28"/>
              </w:rPr>
              <w:t xml:space="preserve"> </w:t>
            </w:r>
            <w:r w:rsidRPr="000B597E">
              <w:rPr>
                <w:rFonts w:ascii="Calibri" w:hAnsi="Calibri" w:cs="Calibri"/>
                <w:b/>
                <w:bCs/>
                <w:color w:val="231F20"/>
                <w:spacing w:val="-5"/>
                <w:w w:val="110"/>
                <w:sz w:val="28"/>
                <w:szCs w:val="28"/>
              </w:rPr>
              <w:t>drugs</w:t>
            </w:r>
          </w:p>
        </w:tc>
        <w:tc>
          <w:tcPr>
            <w:tcW w:w="3972" w:type="dxa"/>
            <w:tcBorders>
              <w:top w:val="single" w:sz="8" w:space="0" w:color="231F20"/>
              <w:left w:val="single" w:sz="2" w:space="0" w:color="BCBEC0"/>
              <w:bottom w:val="single" w:sz="8" w:space="0" w:color="231F20"/>
              <w:right w:val="single" w:sz="8" w:space="0" w:color="231F20"/>
            </w:tcBorders>
            <w:shd w:val="clear" w:color="auto" w:fill="BCBEC0"/>
          </w:tcPr>
          <w:p w:rsidR="000B597E" w:rsidRPr="000B597E" w:rsidRDefault="000B597E" w:rsidP="000B597E">
            <w:pPr>
              <w:kinsoku w:val="0"/>
              <w:overflowPunct w:val="0"/>
              <w:autoSpaceDE w:val="0"/>
              <w:autoSpaceDN w:val="0"/>
              <w:adjustRightInd w:val="0"/>
              <w:spacing w:before="77" w:after="0" w:line="182" w:lineRule="auto"/>
              <w:ind w:left="78" w:right="500"/>
              <w:rPr>
                <w:rFonts w:ascii="Times New Roman" w:hAnsi="Times New Roman" w:cs="Times New Roman"/>
                <w:sz w:val="24"/>
                <w:szCs w:val="24"/>
              </w:rPr>
            </w:pPr>
            <w:r w:rsidRPr="000B597E">
              <w:rPr>
                <w:rFonts w:ascii="Calibri" w:hAnsi="Calibri" w:cs="Calibri"/>
                <w:b/>
                <w:bCs/>
                <w:color w:val="231F20"/>
                <w:spacing w:val="-5"/>
                <w:w w:val="110"/>
                <w:sz w:val="28"/>
                <w:szCs w:val="28"/>
              </w:rPr>
              <w:t>Sale</w:t>
            </w:r>
            <w:r w:rsidRPr="000B597E">
              <w:rPr>
                <w:rFonts w:ascii="Calibri" w:hAnsi="Calibri" w:cs="Calibri"/>
                <w:b/>
                <w:bCs/>
                <w:color w:val="231F20"/>
                <w:spacing w:val="-17"/>
                <w:w w:val="110"/>
                <w:sz w:val="28"/>
                <w:szCs w:val="28"/>
              </w:rPr>
              <w:t xml:space="preserve"> </w:t>
            </w:r>
            <w:r w:rsidRPr="000B597E">
              <w:rPr>
                <w:rFonts w:ascii="Calibri" w:hAnsi="Calibri" w:cs="Calibri"/>
                <w:b/>
                <w:bCs/>
                <w:color w:val="231F20"/>
                <w:spacing w:val="-4"/>
                <w:w w:val="110"/>
                <w:sz w:val="28"/>
                <w:szCs w:val="28"/>
              </w:rPr>
              <w:t>of</w:t>
            </w:r>
            <w:r w:rsidRPr="000B597E">
              <w:rPr>
                <w:rFonts w:ascii="Calibri" w:hAnsi="Calibri" w:cs="Calibri"/>
                <w:b/>
                <w:bCs/>
                <w:color w:val="231F20"/>
                <w:spacing w:val="-17"/>
                <w:w w:val="110"/>
                <w:sz w:val="28"/>
                <w:szCs w:val="28"/>
              </w:rPr>
              <w:t xml:space="preserve"> </w:t>
            </w:r>
            <w:r w:rsidRPr="000B597E">
              <w:rPr>
                <w:rFonts w:ascii="Calibri" w:hAnsi="Calibri" w:cs="Calibri"/>
                <w:b/>
                <w:bCs/>
                <w:color w:val="231F20"/>
                <w:spacing w:val="-5"/>
                <w:w w:val="110"/>
                <w:sz w:val="28"/>
                <w:szCs w:val="28"/>
              </w:rPr>
              <w:t>illegal</w:t>
            </w:r>
            <w:r w:rsidRPr="000B597E">
              <w:rPr>
                <w:rFonts w:ascii="Calibri" w:hAnsi="Calibri" w:cs="Calibri"/>
                <w:b/>
                <w:bCs/>
                <w:color w:val="231F20"/>
                <w:spacing w:val="17"/>
                <w:w w:val="111"/>
                <w:sz w:val="28"/>
                <w:szCs w:val="28"/>
              </w:rPr>
              <w:t xml:space="preserve"> </w:t>
            </w:r>
            <w:r w:rsidRPr="000B597E">
              <w:rPr>
                <w:rFonts w:ascii="Calibri" w:hAnsi="Calibri" w:cs="Calibri"/>
                <w:b/>
                <w:bCs/>
                <w:color w:val="231F20"/>
                <w:spacing w:val="-5"/>
                <w:w w:val="110"/>
                <w:sz w:val="28"/>
                <w:szCs w:val="28"/>
              </w:rPr>
              <w:t>drugs</w:t>
            </w:r>
          </w:p>
        </w:tc>
      </w:tr>
      <w:tr w:rsidR="000B597E" w:rsidRPr="000B597E" w:rsidTr="000B597E">
        <w:tblPrEx>
          <w:tblCellMar>
            <w:top w:w="0" w:type="dxa"/>
            <w:left w:w="0" w:type="dxa"/>
            <w:bottom w:w="0" w:type="dxa"/>
            <w:right w:w="0" w:type="dxa"/>
          </w:tblCellMar>
        </w:tblPrEx>
        <w:trPr>
          <w:trHeight w:hRule="exact" w:val="585"/>
        </w:trPr>
        <w:tc>
          <w:tcPr>
            <w:tcW w:w="1271" w:type="dxa"/>
            <w:tcBorders>
              <w:top w:val="single" w:sz="8" w:space="0" w:color="231F20"/>
              <w:left w:val="single" w:sz="6" w:space="0" w:color="231F20"/>
              <w:bottom w:val="single" w:sz="8" w:space="0" w:color="231F20"/>
              <w:right w:val="nil"/>
            </w:tcBorders>
          </w:tcPr>
          <w:p w:rsidR="000B597E" w:rsidRPr="000B597E" w:rsidRDefault="000B597E" w:rsidP="000B597E">
            <w:pPr>
              <w:kinsoku w:val="0"/>
              <w:overflowPunct w:val="0"/>
              <w:autoSpaceDE w:val="0"/>
              <w:autoSpaceDN w:val="0"/>
              <w:adjustRightInd w:val="0"/>
              <w:spacing w:before="13" w:after="0"/>
              <w:ind w:left="70"/>
              <w:rPr>
                <w:rFonts w:ascii="Times New Roman" w:hAnsi="Times New Roman" w:cs="Times New Roman"/>
                <w:sz w:val="24"/>
                <w:szCs w:val="24"/>
              </w:rPr>
            </w:pPr>
            <w:r w:rsidRPr="000B597E">
              <w:rPr>
                <w:rFonts w:ascii="Calibri" w:hAnsi="Calibri" w:cs="Calibri"/>
                <w:b/>
                <w:bCs/>
                <w:color w:val="231F20"/>
                <w:spacing w:val="-4"/>
                <w:w w:val="105"/>
                <w:sz w:val="28"/>
                <w:szCs w:val="28"/>
              </w:rPr>
              <w:t>1st o</w:t>
            </w:r>
            <w:r w:rsidRPr="000B597E">
              <w:rPr>
                <w:rFonts w:ascii="Calibri" w:hAnsi="Calibri" w:cs="Calibri"/>
                <w:b/>
                <w:bCs/>
                <w:color w:val="231F20"/>
                <w:spacing w:val="-5"/>
                <w:w w:val="105"/>
                <w:sz w:val="28"/>
                <w:szCs w:val="28"/>
              </w:rPr>
              <w:t>ff</w:t>
            </w:r>
          </w:p>
        </w:tc>
        <w:tc>
          <w:tcPr>
            <w:tcW w:w="2497" w:type="dxa"/>
            <w:tcBorders>
              <w:top w:val="single" w:sz="8" w:space="0" w:color="231F20"/>
              <w:left w:val="nil"/>
              <w:bottom w:val="single" w:sz="8" w:space="0" w:color="231F20"/>
              <w:right w:val="nil"/>
            </w:tcBorders>
          </w:tcPr>
          <w:p w:rsidR="000B597E" w:rsidRPr="000B597E" w:rsidRDefault="000B597E" w:rsidP="000B597E">
            <w:pPr>
              <w:kinsoku w:val="0"/>
              <w:overflowPunct w:val="0"/>
              <w:autoSpaceDE w:val="0"/>
              <w:autoSpaceDN w:val="0"/>
              <w:adjustRightInd w:val="0"/>
              <w:spacing w:before="27" w:after="0" w:line="260" w:lineRule="exact"/>
              <w:ind w:left="383" w:right="434"/>
              <w:rPr>
                <w:rFonts w:ascii="Times New Roman" w:hAnsi="Times New Roman" w:cs="Times New Roman"/>
                <w:sz w:val="24"/>
                <w:szCs w:val="24"/>
              </w:rPr>
            </w:pPr>
            <w:r w:rsidRPr="000B597E">
              <w:rPr>
                <w:rFonts w:ascii="Calibri" w:hAnsi="Calibri" w:cs="Calibri"/>
                <w:color w:val="231F20"/>
              </w:rPr>
              <w:t>1</w:t>
            </w:r>
            <w:r w:rsidRPr="000B597E">
              <w:rPr>
                <w:rFonts w:ascii="Calibri" w:hAnsi="Calibri" w:cs="Calibri"/>
                <w:color w:val="231F20"/>
                <w:spacing w:val="-3"/>
              </w:rPr>
              <w:t xml:space="preserve"> year</w:t>
            </w:r>
            <w:r w:rsidR="00030043">
              <w:rPr>
                <w:rFonts w:ascii="Calibri" w:hAnsi="Calibri" w:cs="Calibri"/>
                <w:color w:val="231F20"/>
                <w:spacing w:val="-3"/>
              </w:rPr>
              <w:t xml:space="preserve"> </w:t>
            </w:r>
            <w:r w:rsidRPr="000B597E">
              <w:rPr>
                <w:rFonts w:ascii="Calibri" w:hAnsi="Calibri" w:cs="Calibri"/>
                <w:color w:val="231F20"/>
                <w:spacing w:val="-2"/>
              </w:rPr>
              <w:t xml:space="preserve"> </w:t>
            </w:r>
            <w:r w:rsidRPr="000B597E">
              <w:rPr>
                <w:rFonts w:ascii="Calibri" w:hAnsi="Calibri" w:cs="Calibri"/>
                <w:color w:val="231F20"/>
                <w:spacing w:val="-3"/>
              </w:rPr>
              <w:t>from</w:t>
            </w:r>
            <w:r w:rsidRPr="000B597E">
              <w:rPr>
                <w:rFonts w:ascii="Calibri" w:hAnsi="Calibri" w:cs="Calibri"/>
                <w:color w:val="231F20"/>
                <w:spacing w:val="-2"/>
              </w:rPr>
              <w:t xml:space="preserve"> </w:t>
            </w:r>
            <w:r w:rsidRPr="000B597E">
              <w:rPr>
                <w:rFonts w:ascii="Calibri" w:hAnsi="Calibri" w:cs="Calibri"/>
                <w:color w:val="231F20"/>
                <w:spacing w:val="-3"/>
              </w:rPr>
              <w:t>date</w:t>
            </w:r>
            <w:r w:rsidRPr="000B597E">
              <w:rPr>
                <w:rFonts w:ascii="Calibri" w:hAnsi="Calibri" w:cs="Calibri"/>
                <w:color w:val="231F20"/>
                <w:spacing w:val="-2"/>
              </w:rPr>
              <w:t xml:space="preserve"> </w:t>
            </w:r>
            <w:r w:rsidRPr="000B597E">
              <w:rPr>
                <w:rFonts w:ascii="Calibri" w:hAnsi="Calibri" w:cs="Calibri"/>
                <w:color w:val="231F20"/>
                <w:spacing w:val="-4"/>
              </w:rPr>
              <w:t>of</w:t>
            </w:r>
            <w:r w:rsidRPr="000B597E">
              <w:rPr>
                <w:rFonts w:ascii="Calibri" w:hAnsi="Calibri" w:cs="Calibri"/>
                <w:color w:val="231F20"/>
                <w:spacing w:val="17"/>
                <w:w w:val="101"/>
              </w:rPr>
              <w:t xml:space="preserve"> </w:t>
            </w:r>
            <w:r w:rsidRPr="000B597E">
              <w:rPr>
                <w:rFonts w:ascii="Calibri" w:hAnsi="Calibri" w:cs="Calibri"/>
                <w:color w:val="231F20"/>
                <w:spacing w:val="-4"/>
              </w:rPr>
              <w:t>conviction</w:t>
            </w:r>
          </w:p>
        </w:tc>
        <w:tc>
          <w:tcPr>
            <w:tcW w:w="3972" w:type="dxa"/>
            <w:tcBorders>
              <w:top w:val="single" w:sz="8" w:space="0" w:color="231F20"/>
              <w:left w:val="nil"/>
              <w:bottom w:val="single" w:sz="8" w:space="0" w:color="231F20"/>
              <w:right w:val="single" w:sz="8" w:space="0" w:color="231F20"/>
            </w:tcBorders>
          </w:tcPr>
          <w:p w:rsidR="000B597E" w:rsidRPr="000B597E" w:rsidRDefault="000B597E" w:rsidP="000B597E">
            <w:pPr>
              <w:kinsoku w:val="0"/>
              <w:overflowPunct w:val="0"/>
              <w:autoSpaceDE w:val="0"/>
              <w:autoSpaceDN w:val="0"/>
              <w:adjustRightInd w:val="0"/>
              <w:spacing w:before="27" w:after="0" w:line="260" w:lineRule="exact"/>
              <w:ind w:left="79" w:right="340"/>
              <w:rPr>
                <w:rFonts w:ascii="Times New Roman" w:hAnsi="Times New Roman" w:cs="Times New Roman"/>
                <w:sz w:val="24"/>
                <w:szCs w:val="24"/>
              </w:rPr>
            </w:pPr>
            <w:r w:rsidRPr="000B597E">
              <w:rPr>
                <w:rFonts w:ascii="Calibri" w:hAnsi="Calibri" w:cs="Calibri"/>
                <w:color w:val="231F20"/>
              </w:rPr>
              <w:t>2</w:t>
            </w:r>
            <w:r w:rsidRPr="000B597E">
              <w:rPr>
                <w:rFonts w:ascii="Calibri" w:hAnsi="Calibri" w:cs="Calibri"/>
                <w:color w:val="231F20"/>
                <w:spacing w:val="-3"/>
              </w:rPr>
              <w:t xml:space="preserve"> </w:t>
            </w:r>
            <w:r w:rsidRPr="000B597E">
              <w:rPr>
                <w:rFonts w:ascii="Calibri" w:hAnsi="Calibri" w:cs="Calibri"/>
                <w:color w:val="231F20"/>
                <w:spacing w:val="-4"/>
              </w:rPr>
              <w:t>years</w:t>
            </w:r>
            <w:r w:rsidRPr="000B597E">
              <w:rPr>
                <w:rFonts w:ascii="Calibri" w:hAnsi="Calibri" w:cs="Calibri"/>
                <w:color w:val="231F20"/>
                <w:spacing w:val="-2"/>
              </w:rPr>
              <w:t xml:space="preserve"> </w:t>
            </w:r>
            <w:r w:rsidRPr="000B597E">
              <w:rPr>
                <w:rFonts w:ascii="Calibri" w:hAnsi="Calibri" w:cs="Calibri"/>
                <w:color w:val="231F20"/>
                <w:spacing w:val="-3"/>
              </w:rPr>
              <w:t>from</w:t>
            </w:r>
            <w:r w:rsidRPr="000B597E">
              <w:rPr>
                <w:rFonts w:ascii="Calibri" w:hAnsi="Calibri" w:cs="Calibri"/>
                <w:color w:val="231F20"/>
                <w:spacing w:val="-2"/>
              </w:rPr>
              <w:t xml:space="preserve"> </w:t>
            </w:r>
            <w:r w:rsidRPr="000B597E">
              <w:rPr>
                <w:rFonts w:ascii="Calibri" w:hAnsi="Calibri" w:cs="Calibri"/>
                <w:color w:val="231F20"/>
                <w:spacing w:val="-3"/>
              </w:rPr>
              <w:t>date</w:t>
            </w:r>
            <w:r w:rsidRPr="000B597E">
              <w:rPr>
                <w:rFonts w:ascii="Calibri" w:hAnsi="Calibri" w:cs="Calibri"/>
                <w:color w:val="231F20"/>
                <w:spacing w:val="-2"/>
              </w:rPr>
              <w:t xml:space="preserve"> </w:t>
            </w:r>
            <w:r w:rsidRPr="000B597E">
              <w:rPr>
                <w:rFonts w:ascii="Calibri" w:hAnsi="Calibri" w:cs="Calibri"/>
                <w:color w:val="231F20"/>
                <w:spacing w:val="-4"/>
              </w:rPr>
              <w:t>of</w:t>
            </w:r>
            <w:r w:rsidRPr="000B597E">
              <w:rPr>
                <w:rFonts w:ascii="Calibri" w:hAnsi="Calibri" w:cs="Calibri"/>
                <w:color w:val="231F20"/>
                <w:spacing w:val="21"/>
                <w:w w:val="101"/>
              </w:rPr>
              <w:t xml:space="preserve"> </w:t>
            </w:r>
            <w:r w:rsidRPr="000B597E">
              <w:rPr>
                <w:rFonts w:ascii="Calibri" w:hAnsi="Calibri" w:cs="Calibri"/>
                <w:color w:val="231F20"/>
                <w:spacing w:val="-4"/>
              </w:rPr>
              <w:t>conviction</w:t>
            </w:r>
          </w:p>
        </w:tc>
      </w:tr>
      <w:tr w:rsidR="000B597E" w:rsidRPr="000B597E" w:rsidTr="000B597E">
        <w:tblPrEx>
          <w:tblCellMar>
            <w:top w:w="0" w:type="dxa"/>
            <w:left w:w="0" w:type="dxa"/>
            <w:bottom w:w="0" w:type="dxa"/>
            <w:right w:w="0" w:type="dxa"/>
          </w:tblCellMar>
        </w:tblPrEx>
        <w:trPr>
          <w:trHeight w:hRule="exact" w:val="585"/>
        </w:trPr>
        <w:tc>
          <w:tcPr>
            <w:tcW w:w="1271" w:type="dxa"/>
            <w:tcBorders>
              <w:top w:val="single" w:sz="8" w:space="0" w:color="231F20"/>
              <w:left w:val="single" w:sz="6" w:space="0" w:color="231F20"/>
              <w:bottom w:val="single" w:sz="8" w:space="0" w:color="231F20"/>
              <w:right w:val="nil"/>
            </w:tcBorders>
          </w:tcPr>
          <w:p w:rsidR="000B597E" w:rsidRPr="000B597E" w:rsidRDefault="000B597E" w:rsidP="000B597E">
            <w:pPr>
              <w:kinsoku w:val="0"/>
              <w:overflowPunct w:val="0"/>
              <w:autoSpaceDE w:val="0"/>
              <w:autoSpaceDN w:val="0"/>
              <w:adjustRightInd w:val="0"/>
              <w:spacing w:before="13" w:after="0"/>
              <w:ind w:left="70"/>
              <w:rPr>
                <w:rFonts w:ascii="Times New Roman" w:hAnsi="Times New Roman" w:cs="Times New Roman"/>
                <w:sz w:val="24"/>
                <w:szCs w:val="24"/>
              </w:rPr>
            </w:pPr>
            <w:r w:rsidRPr="000B597E">
              <w:rPr>
                <w:rFonts w:ascii="Calibri" w:hAnsi="Calibri" w:cs="Calibri"/>
                <w:b/>
                <w:bCs/>
                <w:color w:val="231F20"/>
                <w:spacing w:val="-4"/>
                <w:w w:val="105"/>
                <w:sz w:val="28"/>
                <w:szCs w:val="28"/>
              </w:rPr>
              <w:t>2nd</w:t>
            </w:r>
            <w:r w:rsidRPr="000B597E">
              <w:rPr>
                <w:rFonts w:ascii="Calibri" w:hAnsi="Calibri" w:cs="Calibri"/>
                <w:b/>
                <w:bCs/>
                <w:color w:val="231F20"/>
                <w:spacing w:val="3"/>
                <w:w w:val="105"/>
                <w:sz w:val="28"/>
                <w:szCs w:val="28"/>
              </w:rPr>
              <w:t xml:space="preserve"> </w:t>
            </w:r>
            <w:r w:rsidRPr="000B597E">
              <w:rPr>
                <w:rFonts w:ascii="Calibri" w:hAnsi="Calibri" w:cs="Calibri"/>
                <w:b/>
                <w:bCs/>
                <w:color w:val="231F20"/>
                <w:spacing w:val="-4"/>
                <w:w w:val="105"/>
                <w:sz w:val="28"/>
                <w:szCs w:val="28"/>
              </w:rPr>
              <w:t>o</w:t>
            </w:r>
            <w:r w:rsidRPr="000B597E">
              <w:rPr>
                <w:rFonts w:ascii="Calibri" w:hAnsi="Calibri" w:cs="Calibri"/>
                <w:b/>
                <w:bCs/>
                <w:color w:val="231F20"/>
                <w:spacing w:val="-5"/>
                <w:w w:val="105"/>
                <w:sz w:val="28"/>
                <w:szCs w:val="28"/>
              </w:rPr>
              <w:t>ff</w:t>
            </w:r>
          </w:p>
        </w:tc>
        <w:tc>
          <w:tcPr>
            <w:tcW w:w="2497" w:type="dxa"/>
            <w:tcBorders>
              <w:top w:val="single" w:sz="8" w:space="0" w:color="231F20"/>
              <w:left w:val="nil"/>
              <w:bottom w:val="single" w:sz="8" w:space="0" w:color="231F20"/>
              <w:right w:val="nil"/>
            </w:tcBorders>
          </w:tcPr>
          <w:p w:rsidR="000B597E" w:rsidRPr="000B597E" w:rsidRDefault="000B597E" w:rsidP="000B597E">
            <w:pPr>
              <w:kinsoku w:val="0"/>
              <w:overflowPunct w:val="0"/>
              <w:autoSpaceDE w:val="0"/>
              <w:autoSpaceDN w:val="0"/>
              <w:adjustRightInd w:val="0"/>
              <w:spacing w:before="27" w:after="0" w:line="260" w:lineRule="exact"/>
              <w:ind w:left="383" w:right="350"/>
              <w:rPr>
                <w:rFonts w:ascii="Times New Roman" w:hAnsi="Times New Roman" w:cs="Times New Roman"/>
                <w:sz w:val="24"/>
                <w:szCs w:val="24"/>
              </w:rPr>
            </w:pPr>
            <w:r w:rsidRPr="000B597E">
              <w:rPr>
                <w:rFonts w:ascii="Calibri" w:hAnsi="Calibri" w:cs="Calibri"/>
                <w:color w:val="231F20"/>
              </w:rPr>
              <w:t>2</w:t>
            </w:r>
            <w:r w:rsidRPr="000B597E">
              <w:rPr>
                <w:rFonts w:ascii="Calibri" w:hAnsi="Calibri" w:cs="Calibri"/>
                <w:color w:val="231F20"/>
                <w:spacing w:val="-3"/>
              </w:rPr>
              <w:t xml:space="preserve"> </w:t>
            </w:r>
            <w:r w:rsidRPr="000B597E">
              <w:rPr>
                <w:rFonts w:ascii="Calibri" w:hAnsi="Calibri" w:cs="Calibri"/>
                <w:color w:val="231F20"/>
                <w:spacing w:val="-4"/>
              </w:rPr>
              <w:t>years</w:t>
            </w:r>
            <w:r w:rsidRPr="000B597E">
              <w:rPr>
                <w:rFonts w:ascii="Calibri" w:hAnsi="Calibri" w:cs="Calibri"/>
                <w:color w:val="231F20"/>
                <w:spacing w:val="-2"/>
              </w:rPr>
              <w:t xml:space="preserve"> </w:t>
            </w:r>
            <w:r w:rsidRPr="000B597E">
              <w:rPr>
                <w:rFonts w:ascii="Calibri" w:hAnsi="Calibri" w:cs="Calibri"/>
                <w:color w:val="231F20"/>
                <w:spacing w:val="-3"/>
              </w:rPr>
              <w:t>from</w:t>
            </w:r>
            <w:r w:rsidRPr="000B597E">
              <w:rPr>
                <w:rFonts w:ascii="Calibri" w:hAnsi="Calibri" w:cs="Calibri"/>
                <w:color w:val="231F20"/>
                <w:spacing w:val="-2"/>
              </w:rPr>
              <w:t xml:space="preserve"> </w:t>
            </w:r>
            <w:r w:rsidRPr="000B597E">
              <w:rPr>
                <w:rFonts w:ascii="Calibri" w:hAnsi="Calibri" w:cs="Calibri"/>
                <w:color w:val="231F20"/>
                <w:spacing w:val="-3"/>
              </w:rPr>
              <w:t>date</w:t>
            </w:r>
            <w:r w:rsidRPr="000B597E">
              <w:rPr>
                <w:rFonts w:ascii="Calibri" w:hAnsi="Calibri" w:cs="Calibri"/>
                <w:color w:val="231F20"/>
                <w:spacing w:val="-2"/>
              </w:rPr>
              <w:t xml:space="preserve"> </w:t>
            </w:r>
            <w:r w:rsidRPr="000B597E">
              <w:rPr>
                <w:rFonts w:ascii="Calibri" w:hAnsi="Calibri" w:cs="Calibri"/>
                <w:color w:val="231F20"/>
                <w:spacing w:val="-4"/>
              </w:rPr>
              <w:t>of</w:t>
            </w:r>
            <w:r w:rsidRPr="000B597E">
              <w:rPr>
                <w:rFonts w:ascii="Calibri" w:hAnsi="Calibri" w:cs="Calibri"/>
                <w:color w:val="231F20"/>
                <w:spacing w:val="21"/>
                <w:w w:val="101"/>
              </w:rPr>
              <w:t xml:space="preserve"> </w:t>
            </w:r>
            <w:r w:rsidRPr="000B597E">
              <w:rPr>
                <w:rFonts w:ascii="Calibri" w:hAnsi="Calibri" w:cs="Calibri"/>
                <w:color w:val="231F20"/>
                <w:spacing w:val="-4"/>
              </w:rPr>
              <w:t>conviction</w:t>
            </w:r>
          </w:p>
        </w:tc>
        <w:tc>
          <w:tcPr>
            <w:tcW w:w="3972" w:type="dxa"/>
            <w:tcBorders>
              <w:top w:val="single" w:sz="8" w:space="0" w:color="231F20"/>
              <w:left w:val="nil"/>
              <w:bottom w:val="single" w:sz="8" w:space="0" w:color="231F20"/>
              <w:right w:val="single" w:sz="8" w:space="0" w:color="231F20"/>
            </w:tcBorders>
          </w:tcPr>
          <w:p w:rsidR="000B597E" w:rsidRPr="000B597E" w:rsidRDefault="000B597E" w:rsidP="000B597E">
            <w:pPr>
              <w:kinsoku w:val="0"/>
              <w:overflowPunct w:val="0"/>
              <w:autoSpaceDE w:val="0"/>
              <w:autoSpaceDN w:val="0"/>
              <w:adjustRightInd w:val="0"/>
              <w:spacing w:before="25" w:after="0"/>
              <w:ind w:left="79"/>
              <w:rPr>
                <w:rFonts w:ascii="Times New Roman" w:hAnsi="Times New Roman" w:cs="Times New Roman"/>
                <w:sz w:val="24"/>
                <w:szCs w:val="24"/>
              </w:rPr>
            </w:pPr>
            <w:r w:rsidRPr="000B597E">
              <w:rPr>
                <w:rFonts w:ascii="Calibri" w:hAnsi="Calibri" w:cs="Calibri"/>
                <w:color w:val="231F20"/>
                <w:spacing w:val="-3"/>
              </w:rPr>
              <w:t>Inde</w:t>
            </w:r>
            <w:r>
              <w:rPr>
                <w:rFonts w:ascii="Calibri" w:hAnsi="Calibri" w:cs="Calibri"/>
                <w:color w:val="231F20"/>
                <w:spacing w:val="-4"/>
              </w:rPr>
              <w:t>finite</w:t>
            </w:r>
            <w:r w:rsidRPr="000B597E">
              <w:rPr>
                <w:rFonts w:ascii="Calibri" w:hAnsi="Calibri" w:cs="Calibri"/>
                <w:color w:val="231F20"/>
              </w:rPr>
              <w:t xml:space="preserve"> </w:t>
            </w:r>
            <w:r w:rsidRPr="000B597E">
              <w:rPr>
                <w:rFonts w:ascii="Calibri" w:hAnsi="Calibri" w:cs="Calibri"/>
                <w:color w:val="231F20"/>
                <w:spacing w:val="16"/>
              </w:rPr>
              <w:t xml:space="preserve"> </w:t>
            </w:r>
            <w:r w:rsidRPr="000B597E">
              <w:rPr>
                <w:rFonts w:ascii="Calibri" w:hAnsi="Calibri" w:cs="Calibri"/>
                <w:color w:val="231F20"/>
                <w:spacing w:val="-4"/>
              </w:rPr>
              <w:t>period</w:t>
            </w:r>
          </w:p>
        </w:tc>
      </w:tr>
      <w:tr w:rsidR="000B597E" w:rsidRPr="000B597E" w:rsidTr="000B597E">
        <w:tblPrEx>
          <w:tblCellMar>
            <w:top w:w="0" w:type="dxa"/>
            <w:left w:w="0" w:type="dxa"/>
            <w:bottom w:w="0" w:type="dxa"/>
            <w:right w:w="0" w:type="dxa"/>
          </w:tblCellMar>
        </w:tblPrEx>
        <w:trPr>
          <w:trHeight w:hRule="exact" w:val="370"/>
        </w:trPr>
        <w:tc>
          <w:tcPr>
            <w:tcW w:w="1271" w:type="dxa"/>
            <w:tcBorders>
              <w:top w:val="single" w:sz="8" w:space="0" w:color="231F20"/>
              <w:left w:val="single" w:sz="6" w:space="0" w:color="231F20"/>
              <w:bottom w:val="single" w:sz="8" w:space="0" w:color="231F20"/>
              <w:right w:val="nil"/>
            </w:tcBorders>
          </w:tcPr>
          <w:p w:rsidR="000B597E" w:rsidRPr="000B597E" w:rsidRDefault="000B597E" w:rsidP="000B597E">
            <w:pPr>
              <w:kinsoku w:val="0"/>
              <w:overflowPunct w:val="0"/>
              <w:autoSpaceDE w:val="0"/>
              <w:autoSpaceDN w:val="0"/>
              <w:adjustRightInd w:val="0"/>
              <w:spacing w:before="13" w:after="0" w:line="337" w:lineRule="exact"/>
              <w:ind w:left="70"/>
              <w:rPr>
                <w:rFonts w:ascii="Times New Roman" w:hAnsi="Times New Roman" w:cs="Times New Roman"/>
                <w:sz w:val="24"/>
                <w:szCs w:val="24"/>
              </w:rPr>
            </w:pPr>
            <w:r w:rsidRPr="000B597E">
              <w:rPr>
                <w:rFonts w:ascii="Calibri" w:hAnsi="Calibri" w:cs="Calibri"/>
                <w:b/>
                <w:bCs/>
                <w:color w:val="231F20"/>
                <w:spacing w:val="-3"/>
                <w:w w:val="110"/>
                <w:sz w:val="28"/>
                <w:szCs w:val="28"/>
              </w:rPr>
              <w:t>3+</w:t>
            </w:r>
            <w:r w:rsidRPr="000B597E">
              <w:rPr>
                <w:rFonts w:ascii="Calibri" w:hAnsi="Calibri" w:cs="Calibri"/>
                <w:b/>
                <w:bCs/>
                <w:color w:val="231F20"/>
                <w:spacing w:val="-22"/>
                <w:w w:val="110"/>
                <w:sz w:val="28"/>
                <w:szCs w:val="28"/>
              </w:rPr>
              <w:t xml:space="preserve"> </w:t>
            </w:r>
            <w:r w:rsidRPr="000B597E">
              <w:rPr>
                <w:rFonts w:ascii="Calibri" w:hAnsi="Calibri" w:cs="Calibri"/>
                <w:b/>
                <w:bCs/>
                <w:color w:val="231F20"/>
                <w:spacing w:val="-5"/>
                <w:w w:val="110"/>
                <w:sz w:val="28"/>
                <w:szCs w:val="28"/>
              </w:rPr>
              <w:t>off</w:t>
            </w:r>
          </w:p>
        </w:tc>
        <w:tc>
          <w:tcPr>
            <w:tcW w:w="2497" w:type="dxa"/>
            <w:tcBorders>
              <w:top w:val="single" w:sz="8" w:space="0" w:color="231F20"/>
              <w:left w:val="nil"/>
              <w:bottom w:val="single" w:sz="8" w:space="0" w:color="231F20"/>
              <w:right w:val="nil"/>
            </w:tcBorders>
          </w:tcPr>
          <w:p w:rsidR="000B597E" w:rsidRPr="000B597E" w:rsidRDefault="000B597E" w:rsidP="000B597E">
            <w:pPr>
              <w:kinsoku w:val="0"/>
              <w:overflowPunct w:val="0"/>
              <w:autoSpaceDE w:val="0"/>
              <w:autoSpaceDN w:val="0"/>
              <w:adjustRightInd w:val="0"/>
              <w:spacing w:before="25" w:after="0"/>
              <w:ind w:left="383"/>
              <w:rPr>
                <w:rFonts w:ascii="Times New Roman" w:hAnsi="Times New Roman" w:cs="Times New Roman"/>
                <w:sz w:val="24"/>
                <w:szCs w:val="24"/>
              </w:rPr>
            </w:pPr>
            <w:r w:rsidRPr="000B597E">
              <w:rPr>
                <w:rFonts w:ascii="Calibri" w:hAnsi="Calibri" w:cs="Calibri"/>
                <w:color w:val="231F20"/>
                <w:spacing w:val="-3"/>
              </w:rPr>
              <w:t>Inde</w:t>
            </w:r>
            <w:r w:rsidR="00030043">
              <w:rPr>
                <w:rFonts w:ascii="Calibri" w:hAnsi="Calibri" w:cs="Calibri"/>
                <w:color w:val="231F20"/>
                <w:spacing w:val="-4"/>
              </w:rPr>
              <w:t>finite</w:t>
            </w:r>
            <w:r>
              <w:rPr>
                <w:rFonts w:ascii="Calibri" w:hAnsi="Calibri" w:cs="Calibri"/>
                <w:color w:val="231F20"/>
              </w:rPr>
              <w:t xml:space="preserve"> </w:t>
            </w:r>
            <w:r w:rsidR="00030043">
              <w:rPr>
                <w:rFonts w:ascii="Calibri" w:hAnsi="Calibri" w:cs="Calibri"/>
                <w:color w:val="231F20"/>
              </w:rPr>
              <w:t xml:space="preserve"> </w:t>
            </w:r>
            <w:r w:rsidRPr="000B597E">
              <w:rPr>
                <w:rFonts w:ascii="Calibri" w:hAnsi="Calibri" w:cs="Calibri"/>
                <w:color w:val="231F20"/>
                <w:spacing w:val="-4"/>
              </w:rPr>
              <w:t>period</w:t>
            </w:r>
          </w:p>
        </w:tc>
        <w:tc>
          <w:tcPr>
            <w:tcW w:w="3972" w:type="dxa"/>
            <w:tcBorders>
              <w:top w:val="single" w:sz="8" w:space="0" w:color="231F20"/>
              <w:left w:val="nil"/>
              <w:bottom w:val="single" w:sz="8" w:space="0" w:color="231F20"/>
              <w:right w:val="single" w:sz="8" w:space="0" w:color="231F20"/>
            </w:tcBorders>
          </w:tcPr>
          <w:p w:rsidR="000B597E" w:rsidRPr="000B597E" w:rsidRDefault="000B597E" w:rsidP="000B597E">
            <w:pPr>
              <w:autoSpaceDE w:val="0"/>
              <w:autoSpaceDN w:val="0"/>
              <w:adjustRightInd w:val="0"/>
              <w:spacing w:after="0"/>
              <w:rPr>
                <w:rFonts w:ascii="Times New Roman" w:hAnsi="Times New Roman" w:cs="Times New Roman"/>
                <w:sz w:val="24"/>
                <w:szCs w:val="24"/>
              </w:rPr>
            </w:pPr>
          </w:p>
        </w:tc>
      </w:tr>
    </w:tbl>
    <w:p w:rsidR="000B597E" w:rsidRDefault="000B597E" w:rsidP="000B597E">
      <w:pPr>
        <w:pStyle w:val="NoSpacing"/>
        <w:rPr>
          <w:rFonts w:ascii="Times New Roman" w:hAnsi="Times New Roman" w:cs="Times New Roman"/>
          <w:sz w:val="24"/>
          <w:szCs w:val="24"/>
        </w:rPr>
      </w:pPr>
    </w:p>
    <w:p w:rsidR="008B35FD" w:rsidRDefault="008B35FD" w:rsidP="000B597E">
      <w:pPr>
        <w:pStyle w:val="NoSpacing"/>
        <w:rPr>
          <w:rFonts w:ascii="Times New Roman" w:hAnsi="Times New Roman" w:cs="Times New Roman"/>
          <w:sz w:val="24"/>
          <w:szCs w:val="24"/>
        </w:rPr>
      </w:pPr>
      <w:r>
        <w:rPr>
          <w:rFonts w:ascii="Times New Roman" w:hAnsi="Times New Roman" w:cs="Times New Roman"/>
          <w:sz w:val="24"/>
          <w:szCs w:val="24"/>
        </w:rPr>
        <w:t>If the conviction was for both possessing and selling illegal drugs, and the periods of ineligibility are different, the student will be ineligible for a longer period.</w:t>
      </w:r>
    </w:p>
    <w:p w:rsidR="00BE0605" w:rsidRDefault="00BE0605" w:rsidP="000B597E">
      <w:pPr>
        <w:pStyle w:val="NoSpacing"/>
        <w:rPr>
          <w:rFonts w:ascii="Times New Roman" w:hAnsi="Times New Roman" w:cs="Times New Roman"/>
          <w:sz w:val="24"/>
          <w:szCs w:val="24"/>
        </w:rPr>
      </w:pPr>
    </w:p>
    <w:p w:rsidR="00BE0605" w:rsidRDefault="00BE0605" w:rsidP="000B597E">
      <w:pPr>
        <w:pStyle w:val="NoSpacing"/>
        <w:rPr>
          <w:rFonts w:ascii="Times New Roman" w:hAnsi="Times New Roman" w:cs="Times New Roman"/>
          <w:sz w:val="24"/>
          <w:szCs w:val="24"/>
        </w:rPr>
      </w:pPr>
      <w:r>
        <w:rPr>
          <w:rFonts w:ascii="Times New Roman" w:hAnsi="Times New Roman" w:cs="Times New Roman"/>
          <w:sz w:val="24"/>
          <w:szCs w:val="24"/>
        </w:rPr>
        <w:t>A student regains eligibility the day after the period of ineligibility ends (i.e., for a 1</w:t>
      </w:r>
      <w:r w:rsidRPr="00BE0605">
        <w:rPr>
          <w:rFonts w:ascii="Times New Roman" w:hAnsi="Times New Roman" w:cs="Times New Roman"/>
          <w:sz w:val="24"/>
          <w:szCs w:val="24"/>
          <w:vertAlign w:val="superscript"/>
        </w:rPr>
        <w:t>st</w:t>
      </w:r>
      <w:r>
        <w:rPr>
          <w:rFonts w:ascii="Times New Roman" w:hAnsi="Times New Roman" w:cs="Times New Roman"/>
          <w:sz w:val="24"/>
          <w:szCs w:val="24"/>
        </w:rPr>
        <w:t xml:space="preserve"> or 2</w:t>
      </w:r>
      <w:r w:rsidRPr="00BE0605">
        <w:rPr>
          <w:rFonts w:ascii="Times New Roman" w:hAnsi="Times New Roman" w:cs="Times New Roman"/>
          <w:sz w:val="24"/>
          <w:szCs w:val="24"/>
          <w:vertAlign w:val="superscript"/>
        </w:rPr>
        <w:t>nd</w:t>
      </w:r>
      <w:r>
        <w:rPr>
          <w:rFonts w:ascii="Times New Roman" w:hAnsi="Times New Roman" w:cs="Times New Roman"/>
          <w:sz w:val="24"/>
          <w:szCs w:val="24"/>
        </w:rPr>
        <w:t xml:space="preserve"> offense); or when completion of a qualified drug rehabilitation program that includes passing two unannounced drug test given by such a program.  Further drug convictions will make the student ineligible again.</w:t>
      </w:r>
    </w:p>
    <w:p w:rsidR="00BE0605" w:rsidRDefault="00BE0605" w:rsidP="000B597E">
      <w:pPr>
        <w:pStyle w:val="NoSpacing"/>
        <w:rPr>
          <w:rFonts w:ascii="Times New Roman" w:hAnsi="Times New Roman" w:cs="Times New Roman"/>
          <w:sz w:val="24"/>
          <w:szCs w:val="24"/>
        </w:rPr>
      </w:pPr>
    </w:p>
    <w:p w:rsidR="00BE0605" w:rsidRDefault="00BE0605" w:rsidP="000B597E">
      <w:pPr>
        <w:pStyle w:val="NoSpacing"/>
        <w:rPr>
          <w:rFonts w:ascii="Times New Roman" w:hAnsi="Times New Roman" w:cs="Times New Roman"/>
          <w:sz w:val="24"/>
          <w:szCs w:val="24"/>
        </w:rPr>
      </w:pPr>
      <w:r>
        <w:rPr>
          <w:rFonts w:ascii="Times New Roman" w:hAnsi="Times New Roman" w:cs="Times New Roman"/>
          <w:sz w:val="24"/>
          <w:szCs w:val="24"/>
        </w:rPr>
        <w:t>Students denied eligibility for an indefinite period can regain eligibility after completing any of the following 3 options:</w:t>
      </w:r>
    </w:p>
    <w:p w:rsidR="00BE0605" w:rsidRDefault="00BE0605" w:rsidP="000B597E">
      <w:pPr>
        <w:pStyle w:val="NoSpacing"/>
        <w:rPr>
          <w:rFonts w:ascii="Times New Roman" w:hAnsi="Times New Roman" w:cs="Times New Roman"/>
          <w:sz w:val="24"/>
          <w:szCs w:val="24"/>
        </w:rPr>
      </w:pPr>
    </w:p>
    <w:p w:rsidR="00BE0605" w:rsidRDefault="00BE0605" w:rsidP="00BE060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Successfully completing a rehabilitation program, as described below, which includes passing two unannounced drug tests from such a program;</w:t>
      </w:r>
    </w:p>
    <w:p w:rsidR="00BE0605" w:rsidRDefault="00BE0605" w:rsidP="00BE0605">
      <w:pPr>
        <w:pStyle w:val="NoSpacing"/>
        <w:rPr>
          <w:rFonts w:ascii="Times New Roman" w:hAnsi="Times New Roman" w:cs="Times New Roman"/>
          <w:sz w:val="24"/>
          <w:szCs w:val="24"/>
        </w:rPr>
      </w:pPr>
    </w:p>
    <w:p w:rsidR="00BE0605" w:rsidRDefault="00BE0605" w:rsidP="00BE060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Having the conviction reversed, set aside, or removed from the student’s record so that fewer than two convictions for sale or three convictions for possession remain on the record; or</w:t>
      </w:r>
    </w:p>
    <w:p w:rsidR="00BE0605" w:rsidRDefault="00BE0605" w:rsidP="00BE0605">
      <w:pPr>
        <w:pStyle w:val="NoSpacing"/>
        <w:rPr>
          <w:rFonts w:ascii="Times New Roman" w:hAnsi="Times New Roman" w:cs="Times New Roman"/>
          <w:sz w:val="24"/>
          <w:szCs w:val="24"/>
        </w:rPr>
      </w:pPr>
    </w:p>
    <w:p w:rsidR="00BE0605" w:rsidRDefault="00BE0605" w:rsidP="00BE060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Successfully completing two unannounced drug tests which are part of a rehab program (the student does not need to complete the rest of the program).</w:t>
      </w:r>
    </w:p>
    <w:p w:rsidR="00BE0605" w:rsidRDefault="00BE0605" w:rsidP="00BE0605">
      <w:pPr>
        <w:pStyle w:val="NoSpacing"/>
        <w:rPr>
          <w:rFonts w:ascii="Times New Roman" w:hAnsi="Times New Roman" w:cs="Times New Roman"/>
          <w:sz w:val="24"/>
          <w:szCs w:val="24"/>
        </w:rPr>
      </w:pPr>
    </w:p>
    <w:p w:rsidR="00BE0605" w:rsidRDefault="00BE0605" w:rsidP="00BE0605">
      <w:pPr>
        <w:pStyle w:val="NoSpacing"/>
        <w:rPr>
          <w:rFonts w:ascii="Times New Roman" w:hAnsi="Times New Roman" w:cs="Times New Roman"/>
          <w:sz w:val="24"/>
          <w:szCs w:val="24"/>
        </w:rPr>
      </w:pPr>
      <w:r>
        <w:rPr>
          <w:rFonts w:ascii="Times New Roman" w:hAnsi="Times New Roman" w:cs="Times New Roman"/>
          <w:sz w:val="24"/>
          <w:szCs w:val="24"/>
        </w:rPr>
        <w:lastRenderedPageBreak/>
        <w:t>In such cases, the nature and dates of the remaining convictions will determine when the student regains eligibility.  It is the student’s responsibility to certif</w:t>
      </w:r>
      <w:r w:rsidR="006F54B9">
        <w:rPr>
          <w:rFonts w:ascii="Times New Roman" w:hAnsi="Times New Roman" w:cs="Times New Roman"/>
          <w:sz w:val="24"/>
          <w:szCs w:val="24"/>
        </w:rPr>
        <w:t>y to the Financial Aid Office</w:t>
      </w:r>
      <w:r>
        <w:rPr>
          <w:rFonts w:ascii="Times New Roman" w:hAnsi="Times New Roman" w:cs="Times New Roman"/>
          <w:sz w:val="24"/>
          <w:szCs w:val="24"/>
        </w:rPr>
        <w:t xml:space="preserve"> the successful completion of the rehabilitation program.</w:t>
      </w:r>
    </w:p>
    <w:p w:rsidR="005F783F" w:rsidRDefault="005F783F" w:rsidP="00BE0605">
      <w:pPr>
        <w:pStyle w:val="NoSpacing"/>
        <w:rPr>
          <w:rFonts w:ascii="Times New Roman" w:hAnsi="Times New Roman" w:cs="Times New Roman"/>
          <w:sz w:val="24"/>
          <w:szCs w:val="24"/>
        </w:rPr>
      </w:pPr>
    </w:p>
    <w:p w:rsidR="005F783F" w:rsidRDefault="005F783F" w:rsidP="00BE0605">
      <w:pPr>
        <w:pStyle w:val="NoSpacing"/>
        <w:rPr>
          <w:rFonts w:ascii="Times New Roman" w:hAnsi="Times New Roman" w:cs="Times New Roman"/>
          <w:sz w:val="24"/>
          <w:szCs w:val="24"/>
        </w:rPr>
      </w:pPr>
      <w:r>
        <w:rPr>
          <w:rFonts w:ascii="Times New Roman" w:hAnsi="Times New Roman" w:cs="Times New Roman"/>
          <w:sz w:val="24"/>
          <w:szCs w:val="24"/>
        </w:rPr>
        <w:t>When a student regains eligibility during the award year, Pell Grant and Campus-Based aid for the current payment period and Direct Loans for the period of enrollment may be awarded.</w:t>
      </w:r>
    </w:p>
    <w:p w:rsidR="005F783F" w:rsidRDefault="005F783F" w:rsidP="00BE0605">
      <w:pPr>
        <w:pStyle w:val="NoSpacing"/>
        <w:rPr>
          <w:rFonts w:ascii="Times New Roman" w:hAnsi="Times New Roman" w:cs="Times New Roman"/>
          <w:sz w:val="24"/>
          <w:szCs w:val="24"/>
        </w:rPr>
      </w:pPr>
      <w:bookmarkStart w:id="0" w:name="_GoBack"/>
      <w:bookmarkEnd w:id="0"/>
    </w:p>
    <w:p w:rsidR="005F783F" w:rsidRDefault="005F783F" w:rsidP="005F783F">
      <w:pPr>
        <w:pStyle w:val="NoSpacing"/>
        <w:jc w:val="center"/>
        <w:rPr>
          <w:rFonts w:ascii="Times New Roman" w:hAnsi="Times New Roman" w:cs="Times New Roman"/>
          <w:sz w:val="24"/>
          <w:szCs w:val="24"/>
        </w:rPr>
      </w:pPr>
    </w:p>
    <w:p w:rsidR="005F783F" w:rsidRDefault="005F783F" w:rsidP="005F783F">
      <w:pPr>
        <w:pStyle w:val="NoSpacing"/>
        <w:jc w:val="center"/>
        <w:rPr>
          <w:rFonts w:ascii="Times New Roman" w:hAnsi="Times New Roman" w:cs="Times New Roman"/>
          <w:b/>
          <w:sz w:val="24"/>
          <w:szCs w:val="24"/>
        </w:rPr>
      </w:pPr>
      <w:r w:rsidRPr="005F783F">
        <w:rPr>
          <w:rFonts w:ascii="Times New Roman" w:hAnsi="Times New Roman" w:cs="Times New Roman"/>
          <w:b/>
          <w:sz w:val="24"/>
          <w:szCs w:val="24"/>
        </w:rPr>
        <w:t>STANDARDS FOR A QUALIFIED DRUG REHABILITATION PROGRAM</w:t>
      </w:r>
    </w:p>
    <w:p w:rsidR="005F783F" w:rsidRDefault="005F783F" w:rsidP="005F783F">
      <w:pPr>
        <w:pStyle w:val="NoSpacing"/>
        <w:jc w:val="center"/>
        <w:rPr>
          <w:rFonts w:ascii="Times New Roman" w:hAnsi="Times New Roman" w:cs="Times New Roman"/>
          <w:b/>
          <w:sz w:val="24"/>
          <w:szCs w:val="24"/>
        </w:rPr>
      </w:pPr>
    </w:p>
    <w:p w:rsidR="005F783F" w:rsidRDefault="005F783F" w:rsidP="005F783F">
      <w:pPr>
        <w:pStyle w:val="NoSpacing"/>
        <w:rPr>
          <w:rFonts w:ascii="Times New Roman" w:hAnsi="Times New Roman" w:cs="Times New Roman"/>
          <w:sz w:val="24"/>
          <w:szCs w:val="24"/>
        </w:rPr>
      </w:pPr>
      <w:r>
        <w:rPr>
          <w:rFonts w:ascii="Times New Roman" w:hAnsi="Times New Roman" w:cs="Times New Roman"/>
          <w:sz w:val="24"/>
          <w:szCs w:val="24"/>
        </w:rPr>
        <w:t>A qualified drug rehabilitation program must include at least two unannounced drug tests and satisfy at least one of the following requirements:</w:t>
      </w:r>
    </w:p>
    <w:p w:rsidR="005F783F" w:rsidRDefault="005F783F" w:rsidP="005F783F">
      <w:pPr>
        <w:pStyle w:val="NoSpacing"/>
        <w:rPr>
          <w:rFonts w:ascii="Times New Roman" w:hAnsi="Times New Roman" w:cs="Times New Roman"/>
          <w:sz w:val="24"/>
          <w:szCs w:val="24"/>
        </w:rPr>
      </w:pPr>
    </w:p>
    <w:p w:rsidR="005F783F" w:rsidRDefault="005F783F" w:rsidP="005F783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Be qualified to receive funds directly or indirectly from a federal, state or local government program.</w:t>
      </w:r>
    </w:p>
    <w:p w:rsidR="005F783F" w:rsidRDefault="005F783F" w:rsidP="005F783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Be qualified to receive payment directly or indirectly from a federally or state-licensed insurance company.</w:t>
      </w:r>
    </w:p>
    <w:p w:rsidR="005F783F" w:rsidRDefault="005F783F" w:rsidP="005F783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Be administered or recognized by a federal, state or local government agency or court.</w:t>
      </w:r>
    </w:p>
    <w:p w:rsidR="005F783F" w:rsidRPr="005F783F" w:rsidRDefault="005F783F" w:rsidP="005F783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Be administered or recognized by a federally or state-licensed hospital, health clinic, or medical doctor.</w:t>
      </w:r>
    </w:p>
    <w:sectPr w:rsidR="005F783F" w:rsidRPr="005F783F" w:rsidSect="00CC544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7112"/>
    <w:multiLevelType w:val="hybridMultilevel"/>
    <w:tmpl w:val="2F42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F305E"/>
    <w:multiLevelType w:val="hybridMultilevel"/>
    <w:tmpl w:val="659C9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7F3E0C"/>
    <w:multiLevelType w:val="hybridMultilevel"/>
    <w:tmpl w:val="178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97E"/>
    <w:rsid w:val="00030043"/>
    <w:rsid w:val="000B597E"/>
    <w:rsid w:val="005F783F"/>
    <w:rsid w:val="006F54B9"/>
    <w:rsid w:val="008B35FD"/>
    <w:rsid w:val="00BE0605"/>
    <w:rsid w:val="00CC5441"/>
    <w:rsid w:val="00DD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97E"/>
    <w:pPr>
      <w:spacing w:after="0"/>
    </w:pPr>
  </w:style>
  <w:style w:type="paragraph" w:styleId="ListParagraph">
    <w:name w:val="List Paragraph"/>
    <w:basedOn w:val="Normal"/>
    <w:uiPriority w:val="34"/>
    <w:qFormat/>
    <w:rsid w:val="00BE0605"/>
    <w:pPr>
      <w:ind w:left="720"/>
      <w:contextualSpacing/>
    </w:pPr>
  </w:style>
  <w:style w:type="paragraph" w:styleId="BalloonText">
    <w:name w:val="Balloon Text"/>
    <w:basedOn w:val="Normal"/>
    <w:link w:val="BalloonTextChar"/>
    <w:uiPriority w:val="99"/>
    <w:semiHidden/>
    <w:unhideWhenUsed/>
    <w:rsid w:val="006F54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97E"/>
    <w:pPr>
      <w:spacing w:after="0"/>
    </w:pPr>
  </w:style>
  <w:style w:type="paragraph" w:styleId="ListParagraph">
    <w:name w:val="List Paragraph"/>
    <w:basedOn w:val="Normal"/>
    <w:uiPriority w:val="34"/>
    <w:qFormat/>
    <w:rsid w:val="00BE0605"/>
    <w:pPr>
      <w:ind w:left="720"/>
      <w:contextualSpacing/>
    </w:pPr>
  </w:style>
  <w:style w:type="paragraph" w:styleId="BalloonText">
    <w:name w:val="Balloon Text"/>
    <w:basedOn w:val="Normal"/>
    <w:link w:val="BalloonTextChar"/>
    <w:uiPriority w:val="99"/>
    <w:semiHidden/>
    <w:unhideWhenUsed/>
    <w:rsid w:val="006F54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Giesecke, Marian</dc:creator>
  <cp:lastModifiedBy>Giesecke, Marian</cp:lastModifiedBy>
  <cp:revision>1</cp:revision>
  <cp:lastPrinted>2016-05-11T22:27:00Z</cp:lastPrinted>
  <dcterms:created xsi:type="dcterms:W3CDTF">2016-05-11T21:34:00Z</dcterms:created>
  <dcterms:modified xsi:type="dcterms:W3CDTF">2016-05-11T22:29:00Z</dcterms:modified>
</cp:coreProperties>
</file>